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无锡滨湖经济技术开发区有限公司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无锡经济开发区华庄街道水乡苑四区21-3102-一年租赁使用权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九、资产竞拍过程中出现下列情形的，产权方可以直接做出资产竞拍活动中止和终结的决定，并有权中止或者终结资产租赁使用权的行为：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88E30AA"/>
    <w:rsid w:val="190E71C1"/>
    <w:rsid w:val="1C48451F"/>
    <w:rsid w:val="1E5135A1"/>
    <w:rsid w:val="1F784B5D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A47AE7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74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2023-09-13T02:13:55Z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B9CBFD5B76F24D928108072B31B28999_13</vt:lpwstr>
  </property>
</Properties>
</file>