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无锡经济开发区华庄街道水乡苑四区21-2004-一年租赁使用权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B632F39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74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E861C0087CD7430CBA39E4BD85E938BD_13</vt:lpwstr>
  </property>
</Properties>
</file>