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无锡市太湖格致中学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定于2023年9月19日10:00时起至2023年9月20日10:00时止（延时的除外）在京东网络资产竞价平台（网址http://zichan.jd.com）进行对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其空调等固定资产残值（二拍）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买受人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买受人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88E30AA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70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2023-09-13T01:34:45Z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FF808C38EAA340E5AC1E142567A71967_12</vt:lpwstr>
  </property>
</Properties>
</file>