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无锡经济开发区太湖街道社区卫生服务中心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定于2023年8月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其电脑等固定资产残值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拍前须详细阅读此《竞拍须知》，了解本须知的全部内容。本次竞拍活动遵循“公开、公平、公正、诚实守信”的原则，竞拍活动具备法律效力。参加本次竞拍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拍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拍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拍财产由优先购买权人竞得。顺序不同的优先购买权人以相同价格出价的，竞拍财产由顺序在先的优先购买权人竞得。顺序相同的优先购买权人以相同价格出价的，竞拍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成交的，本标的物买受人冻结的保证金将自动转为部分成交款，由京东结算给产权方。竞拍结束后未能竞得者的保证金以及竞拍未成交的（即流拍的）竞买人的保证金在竞拍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买受人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七、竞拍成交后，买受人以任何理由违约的，缴纳的保证金不予退还，本公司将依法对标的物再行处置，违约后重新处置的，原买受人不得参加竞买。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拍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九、资产竞拍过程中出现下列情形的，产权方可以要求转让方做出资产竞拍活动中止和终结的决定，并有权中止或者终结资产转让活动：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53B0456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2023-08-25T01:18:35Z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CD5E54640D2748AAB616E1B5FC9DD5D3_13</vt:lpwstr>
  </property>
</Properties>
</file>