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无锡市滨湖区太湖街道天鹅湖花园社区工作站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无锡经济开发区太湖街道天鹅湖C区1-18号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联系地址：无锡市滨湖区南湖中路42-2号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2023年6月27日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</w:docVars>
  <w:rsids>
    <w:rsidRoot w:val="00000000"/>
    <w:rsid w:val="746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2023-06-30T05:35:04Z</dcterms:created>
  <dc:creator>Administrator</dc:creator>
  <cp:lastModifiedBy>鑫政佳合</cp:lastModifiedBy>
  <dcterms:modified xsi:type="dcterms:W3CDTF">2023-06-30T05:35:38Z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78386CCBFFF14994B477BBEC87B8DF79_12</vt:lpwstr>
  </property>
</Properties>
</file>