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val="en-US" w:eastAsia="zh-CN"/>
        </w:rPr>
        <w:t>无锡经济开发区太湖街道玖玖城社区工作站</w:t>
      </w:r>
      <w:r>
        <w:rPr>
          <w:rFonts w:hint="eastAsia" w:ascii="宋体" w:hAnsi="宋体" w:eastAsia="宋体" w:cs="宋体"/>
        </w:rPr>
        <w:t>定于202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日10:00时起至202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lang w:val="en-US" w:eastAsia="zh-CN"/>
        </w:rPr>
        <w:t>无锡经济开发区太湖街道玖玖城社区工作站核酸检测房</w:t>
      </w:r>
      <w:r>
        <w:rPr>
          <w:rFonts w:hint="eastAsia" w:ascii="宋体" w:hAnsi="宋体" w:eastAsia="宋体" w:cs="宋体"/>
        </w:rPr>
        <w:t>的残值公开竞价活动，现就有关的网上竞价事宜敬告各位竞买人.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五、本次竞价活动设置延时出价功能，在竞价活动结束前，每最后5分钟如果有竞买人出价，就自动延迟5分钟。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竞拍成交后，本标的物竞得者原冻结的保证金自动转化为成交款，买受人须在成交之时起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日内，通过线下支付拍卖余款，由买受人结算给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。买受人在交齐所有成交款后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日内（凭付款凭证及相关身份材料、委托手续等原件）到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办理交接手续并正式签订《固定资产转让合同》，逾期则视为买受人违约，竞买保证金不予退还。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九、资产竞价过程中出现下列情形的，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可以要求转让方立即中止或者终结资产转让活动，同时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联系地址：无锡市滨湖区南湖路42号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79F526B"/>
    <w:rsid w:val="08A246EF"/>
    <w:rsid w:val="094254E0"/>
    <w:rsid w:val="0BF13075"/>
    <w:rsid w:val="0D260CAE"/>
    <w:rsid w:val="12AB59FF"/>
    <w:rsid w:val="19166733"/>
    <w:rsid w:val="28F55C3D"/>
    <w:rsid w:val="29C2319F"/>
    <w:rsid w:val="29DD2DD9"/>
    <w:rsid w:val="2F5036BB"/>
    <w:rsid w:val="2F8F0F98"/>
    <w:rsid w:val="353E2A64"/>
    <w:rsid w:val="365A699D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1768</Words>
  <Characters>1816</Characters>
  <Lines>13</Lines>
  <Paragraphs>3</Paragraphs>
  <TotalTime>2</TotalTime>
  <ScaleCrop>false</ScaleCrop>
  <LinksUpToDate>false</LinksUpToDate>
  <CharactersWithSpaces>1859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2023-03-28T05:48:23Z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E889B8D620D34069AFF3D79A8416B4FF</vt:lpwstr>
  </property>
</Properties>
</file>