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》（编号：BHZR20200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机器的搬迁运输费用由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方承担</w:t>
      </w:r>
      <w:r>
        <w:rPr>
          <w:rFonts w:hint="eastAsia" w:ascii="宋体" w:hAnsi="宋体" w:eastAsia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亲自勘验标的，参与交易前仔细阅读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信息公告，了解标的实际情况，了解相关法律法规政策并判断项目风险及评估自身风险承受能力</w:t>
      </w:r>
      <w:r>
        <w:rPr>
          <w:rFonts w:hint="eastAsia" w:ascii="宋体" w:hAnsi="宋体" w:eastAsia="宋体"/>
          <w:sz w:val="28"/>
          <w:szCs w:val="28"/>
          <w:lang w:eastAsia="zh-CN"/>
        </w:rPr>
        <w:t>，我方勘验现场时严格按照产权方各项安全保密规定执行。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D00651"/>
    <w:rsid w:val="13E1569F"/>
    <w:rsid w:val="15DE4215"/>
    <w:rsid w:val="1AA63E78"/>
    <w:rsid w:val="1ABE3AAC"/>
    <w:rsid w:val="25485F12"/>
    <w:rsid w:val="27F47F9E"/>
    <w:rsid w:val="2D600515"/>
    <w:rsid w:val="4B3A7275"/>
    <w:rsid w:val="53672DB6"/>
    <w:rsid w:val="686730DF"/>
    <w:rsid w:val="777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2020-11-12T06:18:29Z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